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9A01E" w14:textId="77777777" w:rsidR="007C20C1" w:rsidRDefault="007C20C1" w:rsidP="009B21D2">
      <w:pPr>
        <w:jc w:val="center"/>
        <w:rPr>
          <w:rFonts w:ascii="Cambria" w:hAnsi="Cambria"/>
          <w:b/>
        </w:rPr>
      </w:pPr>
      <w:bookmarkStart w:id="0" w:name="_GoBack"/>
      <w:bookmarkEnd w:id="0"/>
    </w:p>
    <w:p w14:paraId="42A05898" w14:textId="77777777" w:rsidR="000C6162" w:rsidRPr="00B022C6" w:rsidRDefault="009B21D2" w:rsidP="009B21D2">
      <w:pPr>
        <w:jc w:val="center"/>
        <w:rPr>
          <w:rFonts w:ascii="Cambria" w:hAnsi="Cambria"/>
          <w:b/>
        </w:rPr>
      </w:pPr>
      <w:r w:rsidRPr="00B022C6">
        <w:rPr>
          <w:rFonts w:ascii="Cambria" w:hAnsi="Cambria"/>
          <w:b/>
        </w:rPr>
        <w:t>SECRETARÍA DE ADMINISTRACIÓN</w:t>
      </w:r>
    </w:p>
    <w:p w14:paraId="1C7393D1" w14:textId="77777777" w:rsidR="009B21D2" w:rsidRPr="00B022C6" w:rsidRDefault="009B21D2" w:rsidP="009B21D2">
      <w:pPr>
        <w:jc w:val="center"/>
        <w:rPr>
          <w:rFonts w:ascii="Cambria" w:hAnsi="Cambria"/>
        </w:rPr>
      </w:pPr>
      <w:r w:rsidRPr="00B022C6">
        <w:rPr>
          <w:rFonts w:ascii="Cambria" w:hAnsi="Cambria"/>
        </w:rPr>
        <w:t>DIRECCIÓN DE ADQUISICIONES</w:t>
      </w:r>
    </w:p>
    <w:tbl>
      <w:tblPr>
        <w:tblStyle w:val="Tablaconcuadrcula"/>
        <w:tblpPr w:leftFromText="141" w:rightFromText="141" w:vertAnchor="page" w:horzAnchor="margin" w:tblpY="2551"/>
        <w:tblW w:w="8926" w:type="dxa"/>
        <w:tblBorders>
          <w:top w:val="threeDEmboss" w:sz="12" w:space="0" w:color="auto"/>
          <w:left w:val="single" w:sz="24" w:space="0" w:color="auto"/>
          <w:bottom w:val="threeDEmboss" w:sz="12" w:space="0" w:color="auto"/>
          <w:right w:val="single" w:sz="24" w:space="0" w:color="auto"/>
          <w:insideH w:val="threeDEmboss" w:sz="12" w:space="0" w:color="auto"/>
          <w:insideV w:val="single" w:sz="24" w:space="0" w:color="auto"/>
        </w:tblBorders>
        <w:tblLook w:val="04A0" w:firstRow="1" w:lastRow="0" w:firstColumn="1" w:lastColumn="0" w:noHBand="0" w:noVBand="1"/>
      </w:tblPr>
      <w:tblGrid>
        <w:gridCol w:w="4480"/>
        <w:gridCol w:w="4446"/>
      </w:tblGrid>
      <w:tr w:rsidR="00846584" w:rsidRPr="003E68C2" w14:paraId="288202B4" w14:textId="77777777" w:rsidTr="00846584">
        <w:trPr>
          <w:trHeight w:val="459"/>
        </w:trPr>
        <w:tc>
          <w:tcPr>
            <w:tcW w:w="4480" w:type="dxa"/>
            <w:shd w:val="clear" w:color="auto" w:fill="D9D9D9" w:themeFill="background1" w:themeFillShade="D9"/>
          </w:tcPr>
          <w:p w14:paraId="18FA6F2D" w14:textId="77777777" w:rsidR="00846584" w:rsidRPr="003E68C2" w:rsidRDefault="00846584" w:rsidP="007C20C1">
            <w:pPr>
              <w:jc w:val="center"/>
              <w:rPr>
                <w:rFonts w:ascii="Cambria" w:hAnsi="Cambria" w:cs="Arial"/>
                <w:b/>
                <w:sz w:val="20"/>
                <w:szCs w:val="22"/>
                <w:lang w:val="es-MX"/>
              </w:rPr>
            </w:pPr>
            <w:r w:rsidRPr="003E68C2">
              <w:rPr>
                <w:rFonts w:ascii="Cambria" w:hAnsi="Cambria" w:cs="Arial"/>
                <w:b/>
                <w:sz w:val="20"/>
                <w:szCs w:val="22"/>
                <w:lang w:val="es-MX"/>
              </w:rPr>
              <w:t>TIPO DE CONTRATACIÓN</w:t>
            </w:r>
          </w:p>
        </w:tc>
        <w:tc>
          <w:tcPr>
            <w:tcW w:w="4446" w:type="dxa"/>
            <w:shd w:val="clear" w:color="auto" w:fill="D9D9D9" w:themeFill="background1" w:themeFillShade="D9"/>
          </w:tcPr>
          <w:p w14:paraId="5A87D84E" w14:textId="77777777" w:rsidR="00846584" w:rsidRPr="003E68C2" w:rsidRDefault="00846584" w:rsidP="007C20C1">
            <w:pPr>
              <w:jc w:val="center"/>
              <w:rPr>
                <w:rFonts w:ascii="Cambria" w:hAnsi="Cambria" w:cs="Arial"/>
                <w:b/>
                <w:sz w:val="20"/>
                <w:szCs w:val="22"/>
                <w:lang w:val="es-MX"/>
              </w:rPr>
            </w:pPr>
            <w:r w:rsidRPr="003E68C2">
              <w:rPr>
                <w:rFonts w:ascii="Cambria" w:hAnsi="Cambria" w:cs="Arial"/>
                <w:b/>
                <w:sz w:val="20"/>
                <w:szCs w:val="22"/>
                <w:lang w:val="es-MX"/>
              </w:rPr>
              <w:t>MONTO</w:t>
            </w:r>
          </w:p>
        </w:tc>
      </w:tr>
      <w:tr w:rsidR="00846584" w:rsidRPr="003E68C2" w14:paraId="43DE1405" w14:textId="77777777" w:rsidTr="00846584">
        <w:trPr>
          <w:trHeight w:val="486"/>
        </w:trPr>
        <w:tc>
          <w:tcPr>
            <w:tcW w:w="4480" w:type="dxa"/>
          </w:tcPr>
          <w:p w14:paraId="1EAE691E" w14:textId="77777777" w:rsidR="00846584" w:rsidRPr="00DE63B4" w:rsidRDefault="00846584" w:rsidP="007C20C1">
            <w:pPr>
              <w:jc w:val="center"/>
              <w:rPr>
                <w:rFonts w:ascii="Cambria" w:hAnsi="Cambria" w:cs="Arial"/>
                <w:sz w:val="20"/>
                <w:szCs w:val="22"/>
                <w:lang w:val="es-MX"/>
              </w:rPr>
            </w:pPr>
            <w:r w:rsidRPr="00DE63B4">
              <w:rPr>
                <w:rFonts w:ascii="Cambria" w:hAnsi="Cambria" w:cs="Arial"/>
                <w:sz w:val="20"/>
                <w:szCs w:val="22"/>
                <w:lang w:val="es-MX"/>
              </w:rPr>
              <w:t>CONTRATACIÓN DIRECTA</w:t>
            </w:r>
          </w:p>
        </w:tc>
        <w:tc>
          <w:tcPr>
            <w:tcW w:w="4446" w:type="dxa"/>
          </w:tcPr>
          <w:p w14:paraId="24036071"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DE $1.00</w:t>
            </w:r>
          </w:p>
          <w:p w14:paraId="30979FE6"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HASTA $202,776.00</w:t>
            </w:r>
          </w:p>
        </w:tc>
      </w:tr>
      <w:tr w:rsidR="00846584" w:rsidRPr="003E68C2" w14:paraId="78D3634F" w14:textId="77777777" w:rsidTr="00846584">
        <w:trPr>
          <w:trHeight w:val="486"/>
        </w:trPr>
        <w:tc>
          <w:tcPr>
            <w:tcW w:w="4480" w:type="dxa"/>
          </w:tcPr>
          <w:p w14:paraId="39B2D903" w14:textId="77777777" w:rsidR="00846584" w:rsidRPr="00DE63B4" w:rsidRDefault="00846584" w:rsidP="007C20C1">
            <w:pPr>
              <w:jc w:val="center"/>
              <w:rPr>
                <w:rFonts w:ascii="Cambria" w:hAnsi="Cambria" w:cs="Arial"/>
                <w:sz w:val="20"/>
                <w:szCs w:val="22"/>
                <w:lang w:val="es-MX"/>
              </w:rPr>
            </w:pPr>
            <w:r w:rsidRPr="00DE63B4">
              <w:rPr>
                <w:rFonts w:ascii="Cambria" w:hAnsi="Cambria" w:cs="Arial"/>
                <w:sz w:val="20"/>
                <w:szCs w:val="22"/>
                <w:lang w:val="es-MX"/>
              </w:rPr>
              <w:t>CONTRATACIÓN DIRECTA (TRES PROVEEDORES)</w:t>
            </w:r>
          </w:p>
        </w:tc>
        <w:tc>
          <w:tcPr>
            <w:tcW w:w="4446" w:type="dxa"/>
          </w:tcPr>
          <w:p w14:paraId="1D3C0FB9"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DE $202,776.01</w:t>
            </w:r>
          </w:p>
          <w:p w14:paraId="2433F890"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HASTA $1´216,656.00</w:t>
            </w:r>
          </w:p>
        </w:tc>
      </w:tr>
      <w:tr w:rsidR="00846584" w:rsidRPr="003E68C2" w14:paraId="447DBCD8" w14:textId="77777777" w:rsidTr="00846584">
        <w:trPr>
          <w:trHeight w:val="486"/>
        </w:trPr>
        <w:tc>
          <w:tcPr>
            <w:tcW w:w="4480" w:type="dxa"/>
          </w:tcPr>
          <w:p w14:paraId="6095B3FA" w14:textId="77777777" w:rsidR="00846584" w:rsidRPr="00DE63B4" w:rsidRDefault="00846584" w:rsidP="007C20C1">
            <w:pPr>
              <w:jc w:val="center"/>
              <w:rPr>
                <w:rFonts w:ascii="Cambria" w:hAnsi="Cambria" w:cs="Arial"/>
                <w:sz w:val="20"/>
                <w:szCs w:val="22"/>
                <w:lang w:val="es-MX"/>
              </w:rPr>
            </w:pPr>
            <w:r w:rsidRPr="00DE63B4">
              <w:rPr>
                <w:rFonts w:ascii="Cambria" w:hAnsi="Cambria" w:cs="Arial"/>
                <w:sz w:val="20"/>
                <w:szCs w:val="22"/>
                <w:lang w:val="es-MX"/>
              </w:rPr>
              <w:t>INVITACIÓN RESTRINGIDA</w:t>
            </w:r>
          </w:p>
        </w:tc>
        <w:tc>
          <w:tcPr>
            <w:tcW w:w="4446" w:type="dxa"/>
          </w:tcPr>
          <w:p w14:paraId="6A265569"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DE $1´216,656.01</w:t>
            </w:r>
          </w:p>
          <w:p w14:paraId="5BA783F2"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HASTA $2´027,760.00</w:t>
            </w:r>
          </w:p>
        </w:tc>
      </w:tr>
      <w:tr w:rsidR="00846584" w:rsidRPr="003E68C2" w14:paraId="4D1D6145" w14:textId="77777777" w:rsidTr="00846584">
        <w:trPr>
          <w:trHeight w:val="486"/>
        </w:trPr>
        <w:tc>
          <w:tcPr>
            <w:tcW w:w="4480" w:type="dxa"/>
          </w:tcPr>
          <w:p w14:paraId="26C293D2" w14:textId="77777777" w:rsidR="00846584" w:rsidRPr="00DE63B4" w:rsidRDefault="00846584" w:rsidP="007C20C1">
            <w:pPr>
              <w:jc w:val="center"/>
              <w:rPr>
                <w:rFonts w:ascii="Cambria" w:hAnsi="Cambria" w:cs="Arial"/>
                <w:sz w:val="20"/>
                <w:szCs w:val="22"/>
                <w:lang w:val="es-MX"/>
              </w:rPr>
            </w:pPr>
            <w:r w:rsidRPr="00DE63B4">
              <w:rPr>
                <w:rFonts w:ascii="Cambria" w:hAnsi="Cambria" w:cs="Arial"/>
                <w:sz w:val="20"/>
                <w:szCs w:val="22"/>
                <w:lang w:val="es-MX"/>
              </w:rPr>
              <w:t>LICITACIÓN PÚBLICA</w:t>
            </w:r>
          </w:p>
        </w:tc>
        <w:tc>
          <w:tcPr>
            <w:tcW w:w="4446" w:type="dxa"/>
          </w:tcPr>
          <w:p w14:paraId="11ADA19B" w14:textId="77777777" w:rsidR="00846584" w:rsidRPr="003E68C2" w:rsidRDefault="00846584" w:rsidP="007C20C1">
            <w:pPr>
              <w:jc w:val="center"/>
              <w:rPr>
                <w:rFonts w:ascii="Cambria" w:hAnsi="Cambria" w:cs="Arial"/>
                <w:sz w:val="20"/>
                <w:szCs w:val="22"/>
                <w:lang w:val="es-MX"/>
              </w:rPr>
            </w:pPr>
            <w:r w:rsidRPr="003E68C2">
              <w:rPr>
                <w:rFonts w:ascii="Cambria" w:hAnsi="Cambria" w:cs="Arial"/>
                <w:sz w:val="20"/>
                <w:szCs w:val="22"/>
                <w:lang w:val="es-MX"/>
              </w:rPr>
              <w:t>EXCEDENTE DE $2´027,760.01</w:t>
            </w:r>
          </w:p>
        </w:tc>
      </w:tr>
    </w:tbl>
    <w:p w14:paraId="7B29631D" w14:textId="77777777" w:rsidR="009B21D2" w:rsidRPr="009B21D2" w:rsidRDefault="009B21D2" w:rsidP="009B21D2">
      <w:pPr>
        <w:jc w:val="center"/>
        <w:rPr>
          <w:rFonts w:ascii="Cambria" w:hAnsi="Cambria"/>
          <w:b/>
        </w:rPr>
      </w:pPr>
    </w:p>
    <w:p w14:paraId="7DCC4193" w14:textId="77777777" w:rsidR="00846584" w:rsidRDefault="00846584" w:rsidP="00846584">
      <w:pPr>
        <w:rPr>
          <w:rFonts w:ascii="Cambria" w:hAnsi="Cambria"/>
          <w:b/>
        </w:rPr>
      </w:pPr>
    </w:p>
    <w:p w14:paraId="1FFC8FED" w14:textId="77777777" w:rsidR="00B518DB" w:rsidRDefault="00B518DB" w:rsidP="00846584">
      <w:pPr>
        <w:rPr>
          <w:rFonts w:ascii="Cambria" w:hAnsi="Cambria"/>
          <w:b/>
        </w:rPr>
      </w:pPr>
    </w:p>
    <w:p w14:paraId="372A43C0" w14:textId="77777777" w:rsidR="009B21D2" w:rsidRPr="009B21D2" w:rsidRDefault="009B21D2" w:rsidP="009B21D2">
      <w:pPr>
        <w:jc w:val="center"/>
        <w:rPr>
          <w:rFonts w:ascii="Cambria" w:hAnsi="Cambria"/>
          <w:b/>
        </w:rPr>
      </w:pPr>
      <w:r w:rsidRPr="009B21D2">
        <w:rPr>
          <w:rFonts w:ascii="Cambria" w:hAnsi="Cambria"/>
          <w:b/>
        </w:rPr>
        <w:t>LEY DE EGRESOS DEL ESTADO DE NUEVO LEÓN</w:t>
      </w:r>
    </w:p>
    <w:p w14:paraId="6B75EF9E" w14:textId="77777777" w:rsidR="009B21D2" w:rsidRPr="009B21D2" w:rsidRDefault="009B21D2" w:rsidP="009B21D2">
      <w:pPr>
        <w:jc w:val="center"/>
        <w:rPr>
          <w:rFonts w:ascii="Cambria" w:hAnsi="Cambria"/>
          <w:b/>
        </w:rPr>
      </w:pPr>
      <w:r w:rsidRPr="009B21D2">
        <w:rPr>
          <w:rFonts w:ascii="Cambria" w:hAnsi="Cambria"/>
          <w:b/>
        </w:rPr>
        <w:t>PARA EL EJERCICIO FISCAL 2019</w:t>
      </w:r>
    </w:p>
    <w:p w14:paraId="26767C8E" w14:textId="77777777" w:rsidR="009B21D2" w:rsidRPr="00B022C6" w:rsidRDefault="009B21D2" w:rsidP="009B21D2">
      <w:pPr>
        <w:jc w:val="both"/>
        <w:rPr>
          <w:rFonts w:ascii="Cambria" w:hAnsi="Cambria"/>
          <w:sz w:val="28"/>
        </w:rPr>
      </w:pPr>
    </w:p>
    <w:p w14:paraId="2A952CAD" w14:textId="77777777" w:rsidR="00B022C6" w:rsidRPr="00B022C6" w:rsidRDefault="009B21D2" w:rsidP="009B21D2">
      <w:pPr>
        <w:jc w:val="both"/>
        <w:rPr>
          <w:sz w:val="20"/>
        </w:rPr>
      </w:pPr>
      <w:r w:rsidRPr="00B022C6">
        <w:rPr>
          <w:sz w:val="20"/>
        </w:rPr>
        <w:t xml:space="preserve">Artículo 64. Para los efectos previstos por los artículos 25, 42 y 43 de la Ley de Adquisiciones, Arrendamientos y Contratación de Servicios del Estado de Nuevo León, se observará lo siguiente: </w:t>
      </w:r>
    </w:p>
    <w:p w14:paraId="37DFC190" w14:textId="77777777" w:rsidR="00B022C6" w:rsidRPr="00B022C6" w:rsidRDefault="00B022C6" w:rsidP="009B21D2">
      <w:pPr>
        <w:jc w:val="both"/>
        <w:rPr>
          <w:sz w:val="20"/>
        </w:rPr>
      </w:pPr>
    </w:p>
    <w:p w14:paraId="1E118D8D" w14:textId="77777777" w:rsidR="00B022C6" w:rsidRPr="00B022C6" w:rsidRDefault="009B21D2" w:rsidP="00B022C6">
      <w:pPr>
        <w:pStyle w:val="Prrafodelista"/>
        <w:numPr>
          <w:ilvl w:val="0"/>
          <w:numId w:val="1"/>
        </w:numPr>
        <w:jc w:val="both"/>
        <w:rPr>
          <w:sz w:val="20"/>
        </w:rPr>
      </w:pPr>
      <w:r w:rsidRPr="00B022C6">
        <w:rPr>
          <w:sz w:val="20"/>
        </w:rPr>
        <w:t xml:space="preserve">Se contratará directamente cuando su monto no exceda de </w:t>
      </w:r>
      <w:r w:rsidRPr="00B022C6">
        <w:rPr>
          <w:b/>
          <w:sz w:val="20"/>
        </w:rPr>
        <w:t>2,400</w:t>
      </w:r>
      <w:r w:rsidRPr="00B022C6">
        <w:rPr>
          <w:sz w:val="20"/>
        </w:rPr>
        <w:t xml:space="preserve"> cuotas. </w:t>
      </w:r>
    </w:p>
    <w:p w14:paraId="227024B4"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directamente mediante cotización por escrito de cuando menos tres proveedores, cuando su monto sea superior al señalado en la fracción I, pero no exceda de </w:t>
      </w:r>
      <w:r w:rsidRPr="00B022C6">
        <w:rPr>
          <w:b/>
          <w:sz w:val="20"/>
        </w:rPr>
        <w:t>14,400</w:t>
      </w:r>
      <w:r w:rsidRPr="00B022C6">
        <w:rPr>
          <w:sz w:val="20"/>
        </w:rPr>
        <w:t xml:space="preserve"> cuotas. </w:t>
      </w:r>
    </w:p>
    <w:p w14:paraId="433CD5FF"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mediante concurso por invitación restringida a cuando menos tres proveedores, cuando su monto sea superior al señalado en la fracción II, pero no exceda de </w:t>
      </w:r>
      <w:r w:rsidRPr="00B022C6">
        <w:rPr>
          <w:b/>
          <w:sz w:val="20"/>
        </w:rPr>
        <w:t>24,000</w:t>
      </w:r>
      <w:r w:rsidRPr="00B022C6">
        <w:rPr>
          <w:sz w:val="20"/>
        </w:rPr>
        <w:t xml:space="preserve"> cuotas. </w:t>
      </w:r>
    </w:p>
    <w:p w14:paraId="0FEA71DB"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mediante convocatoria pública que se dará a conocer en el Sistema Electrónico de Compras Públicas, así como un resumen en el Periódico Oficial del Estado y por lo menos en uno de los diarios de mayor circulación en la Entidad, </w:t>
      </w:r>
      <w:r w:rsidRPr="00B022C6">
        <w:rPr>
          <w:b/>
          <w:sz w:val="20"/>
        </w:rPr>
        <w:t>cuando su monto exceda de 24,000</w:t>
      </w:r>
      <w:r w:rsidRPr="00B022C6">
        <w:rPr>
          <w:sz w:val="20"/>
        </w:rPr>
        <w:t xml:space="preserve"> cuotas, debiendo cumplirse además con los requisitos que establece la Ley de Adquisiciones, Arrendamientos y Contratación de Servicios del Estado de Nuevo León. </w:t>
      </w:r>
    </w:p>
    <w:p w14:paraId="301E8659"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podrá contratar a través del procedimiento de Subasta Electrónica Inversa, como procedimiento opcional en medios electrónicos, independientemente del monto de su valor de contratación. </w:t>
      </w:r>
    </w:p>
    <w:p w14:paraId="1E14C91E" w14:textId="77777777" w:rsidR="00B022C6" w:rsidRPr="00B022C6" w:rsidRDefault="00B022C6" w:rsidP="00B022C6">
      <w:pPr>
        <w:ind w:left="360"/>
        <w:jc w:val="both"/>
        <w:rPr>
          <w:sz w:val="20"/>
        </w:rPr>
      </w:pPr>
    </w:p>
    <w:p w14:paraId="1E745400" w14:textId="77777777" w:rsidR="00B022C6" w:rsidRPr="00B022C6" w:rsidRDefault="009B21D2" w:rsidP="00B022C6">
      <w:pPr>
        <w:ind w:left="360"/>
        <w:jc w:val="both"/>
        <w:rPr>
          <w:sz w:val="20"/>
        </w:rPr>
      </w:pPr>
      <w:r w:rsidRPr="00B022C6">
        <w:rPr>
          <w:sz w:val="20"/>
        </w:rPr>
        <w:t xml:space="preserve">Para los efectos del artículo 110 de la Ley de Administración Financiera para el Estado, el monto por el cual se podrán vender bienes inmuebles sin necesidad de licitación pública es de 24,000 cuotas. Si el avalúo excede de dicha cantidad deberá hacerse en licitación pública. </w:t>
      </w:r>
    </w:p>
    <w:p w14:paraId="6FC73E24" w14:textId="77777777" w:rsidR="00B022C6" w:rsidRPr="00B022C6" w:rsidRDefault="00B022C6" w:rsidP="00B022C6">
      <w:pPr>
        <w:ind w:left="360"/>
        <w:jc w:val="both"/>
        <w:rPr>
          <w:sz w:val="20"/>
        </w:rPr>
      </w:pPr>
    </w:p>
    <w:p w14:paraId="49A7E97B" w14:textId="77777777" w:rsidR="009B21D2" w:rsidRPr="00B022C6" w:rsidRDefault="009B21D2" w:rsidP="00B022C6">
      <w:pPr>
        <w:ind w:left="360"/>
        <w:jc w:val="both"/>
        <w:rPr>
          <w:rFonts w:ascii="Cambria" w:hAnsi="Cambria"/>
          <w:sz w:val="20"/>
        </w:rPr>
      </w:pPr>
      <w:r w:rsidRPr="00B022C6">
        <w:rPr>
          <w:sz w:val="20"/>
        </w:rPr>
        <w:t>Los montos establecidos deberán considerarse sin incluir el importe del Impuesto al Valor Agregado.</w:t>
      </w:r>
    </w:p>
    <w:p w14:paraId="49B4FE02" w14:textId="77777777" w:rsidR="009B21D2" w:rsidRPr="009B21D2" w:rsidRDefault="009B21D2" w:rsidP="009B21D2">
      <w:pPr>
        <w:jc w:val="center"/>
        <w:rPr>
          <w:rFonts w:ascii="Cambria" w:hAnsi="Cambria"/>
        </w:rPr>
      </w:pPr>
    </w:p>
    <w:p w14:paraId="3F8162E6" w14:textId="77777777" w:rsidR="009B21D2" w:rsidRPr="009B21D2" w:rsidRDefault="009B21D2" w:rsidP="009B21D2">
      <w:pPr>
        <w:jc w:val="center"/>
        <w:rPr>
          <w:rFonts w:ascii="Cambria" w:hAnsi="Cambria"/>
          <w:b/>
        </w:rPr>
      </w:pPr>
      <w:r w:rsidRPr="009B21D2">
        <w:rPr>
          <w:rFonts w:ascii="Cambria" w:hAnsi="Cambria"/>
          <w:b/>
        </w:rPr>
        <w:t>UNIDAD DE MEDIDA Y ACTUALIZACIÓN</w:t>
      </w:r>
    </w:p>
    <w:p w14:paraId="61BBF907" w14:textId="77777777" w:rsidR="009B21D2" w:rsidRPr="009B21D2" w:rsidRDefault="009B21D2" w:rsidP="009B21D2">
      <w:pPr>
        <w:jc w:val="center"/>
        <w:rPr>
          <w:rFonts w:ascii="Cambria" w:hAnsi="Cambria"/>
        </w:rPr>
      </w:pPr>
    </w:p>
    <w:p w14:paraId="034D7BD4" w14:textId="77777777" w:rsidR="009B21D2" w:rsidRPr="00B022C6" w:rsidRDefault="009B21D2" w:rsidP="009B21D2">
      <w:pPr>
        <w:jc w:val="both"/>
        <w:rPr>
          <w:rFonts w:ascii="Cambria" w:hAnsi="Cambria"/>
          <w:sz w:val="20"/>
        </w:rPr>
      </w:pPr>
      <w:r w:rsidRPr="00B022C6">
        <w:rPr>
          <w:rFonts w:ascii="Cambria" w:hAnsi="Cambria"/>
          <w:sz w:val="20"/>
        </w:rPr>
        <w:t xml:space="preserve">El Instituto Nacional de Estadística y Geografía (INEGI) anunció que a partir del 01 de febrero de 2019 el valor de la Unidad de Medida y Actualización (UMA) diario será de </w:t>
      </w:r>
      <w:r w:rsidRPr="00B022C6">
        <w:rPr>
          <w:rFonts w:ascii="Cambria" w:hAnsi="Cambria"/>
          <w:b/>
          <w:sz w:val="20"/>
        </w:rPr>
        <w:t>$84.49</w:t>
      </w:r>
      <w:r w:rsidRPr="00B022C6">
        <w:rPr>
          <w:rFonts w:ascii="Cambria" w:hAnsi="Cambria"/>
          <w:sz w:val="20"/>
        </w:rPr>
        <w:t xml:space="preserve"> (ochenta y cuatro pesos 49/100 M.N.).</w:t>
      </w:r>
    </w:p>
    <w:p w14:paraId="4E943846" w14:textId="77777777" w:rsidR="009B21D2" w:rsidRPr="00B022C6" w:rsidRDefault="009B21D2" w:rsidP="009B21D2">
      <w:pPr>
        <w:jc w:val="both"/>
        <w:rPr>
          <w:rFonts w:ascii="Cambria" w:hAnsi="Cambria"/>
          <w:sz w:val="20"/>
        </w:rPr>
      </w:pPr>
    </w:p>
    <w:p w14:paraId="273FC17B" w14:textId="77777777" w:rsidR="009B21D2" w:rsidRDefault="00B022C6" w:rsidP="009B21D2">
      <w:pPr>
        <w:jc w:val="both"/>
        <w:rPr>
          <w:rFonts w:ascii="Cambria" w:hAnsi="Cambria"/>
          <w:sz w:val="20"/>
        </w:rPr>
      </w:pPr>
      <w:r>
        <w:rPr>
          <w:rFonts w:ascii="Cambria" w:hAnsi="Cambria"/>
          <w:sz w:val="20"/>
        </w:rPr>
        <w:t>*</w:t>
      </w:r>
      <w:r w:rsidR="009B21D2" w:rsidRPr="00B022C6">
        <w:rPr>
          <w:rFonts w:ascii="Cambria" w:hAnsi="Cambria"/>
          <w:sz w:val="20"/>
        </w:rPr>
        <w:t>El UMA que estuvo vigente durante el ejercicio fiscal 2018-dos mil dieciocho fue de $80.60 (ochenta pesos 60/100 M.N.).</w:t>
      </w:r>
    </w:p>
    <w:p w14:paraId="53EE5350" w14:textId="77777777" w:rsidR="007C20C1" w:rsidRDefault="007C20C1" w:rsidP="009B21D2">
      <w:pPr>
        <w:jc w:val="both"/>
        <w:rPr>
          <w:rFonts w:ascii="Cambria" w:hAnsi="Cambria"/>
          <w:sz w:val="20"/>
        </w:rPr>
      </w:pPr>
    </w:p>
    <w:p w14:paraId="78FF16C6" w14:textId="77777777" w:rsidR="007C20C1" w:rsidRPr="00B022C6" w:rsidRDefault="007C20C1" w:rsidP="009B21D2">
      <w:pPr>
        <w:jc w:val="both"/>
        <w:rPr>
          <w:rFonts w:ascii="Cambria" w:hAnsi="Cambria"/>
          <w:sz w:val="20"/>
        </w:rPr>
      </w:pPr>
    </w:p>
    <w:sectPr w:rsidR="007C20C1" w:rsidRPr="00B022C6" w:rsidSect="00846584">
      <w:headerReference w:type="default" r:id="rId7"/>
      <w:pgSz w:w="12240" w:h="15840"/>
      <w:pgMar w:top="1417" w:right="1701" w:bottom="851" w:left="1701" w:header="708"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83065" w14:textId="77777777" w:rsidR="00817705" w:rsidRDefault="00817705" w:rsidP="007C20C1">
      <w:r>
        <w:separator/>
      </w:r>
    </w:p>
  </w:endnote>
  <w:endnote w:type="continuationSeparator" w:id="0">
    <w:p w14:paraId="6DA9B197" w14:textId="77777777" w:rsidR="00817705" w:rsidRDefault="00817705" w:rsidP="007C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4D63" w14:textId="77777777" w:rsidR="00817705" w:rsidRDefault="00817705" w:rsidP="007C20C1">
      <w:r>
        <w:separator/>
      </w:r>
    </w:p>
  </w:footnote>
  <w:footnote w:type="continuationSeparator" w:id="0">
    <w:p w14:paraId="57CA944C" w14:textId="77777777" w:rsidR="00817705" w:rsidRDefault="00817705" w:rsidP="007C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BE4F" w14:textId="77777777" w:rsidR="007C20C1" w:rsidRDefault="007C20C1">
    <w:pPr>
      <w:pStyle w:val="Encabezado"/>
    </w:pPr>
    <w:r w:rsidRPr="007C20C1">
      <w:rPr>
        <w:rFonts w:ascii="Cambria" w:eastAsia="MS Mincho" w:hAnsi="Cambria" w:cs="Times New Roman"/>
        <w:noProof/>
        <w:lang w:val="es-MX" w:eastAsia="es-MX"/>
      </w:rPr>
      <w:drawing>
        <wp:anchor distT="0" distB="0" distL="114300" distR="114300" simplePos="0" relativeHeight="251659264" behindDoc="1" locked="0" layoutInCell="1" allowOverlap="1" wp14:anchorId="67C30820" wp14:editId="401BABA9">
          <wp:simplePos x="0" y="0"/>
          <wp:positionH relativeFrom="column">
            <wp:posOffset>-518160</wp:posOffset>
          </wp:positionH>
          <wp:positionV relativeFrom="paragraph">
            <wp:posOffset>-344170</wp:posOffset>
          </wp:positionV>
          <wp:extent cx="2057400" cy="666482"/>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FINAL OFICIO-20.png"/>
                  <pic:cNvPicPr/>
                </pic:nvPicPr>
                <pic:blipFill>
                  <a:blip r:embed="rId1">
                    <a:extLst>
                      <a:ext uri="{28A0092B-C50C-407E-A947-70E740481C1C}">
                        <a14:useLocalDpi xmlns:a14="http://schemas.microsoft.com/office/drawing/2010/main" val="0"/>
                      </a:ext>
                    </a:extLst>
                  </a:blip>
                  <a:stretch>
                    <a:fillRect/>
                  </a:stretch>
                </pic:blipFill>
                <pic:spPr>
                  <a:xfrm>
                    <a:off x="0" y="0"/>
                    <a:ext cx="2057400" cy="6664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F4039"/>
    <w:multiLevelType w:val="hybridMultilevel"/>
    <w:tmpl w:val="C9F680BE"/>
    <w:lvl w:ilvl="0" w:tplc="6C381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1D2"/>
    <w:rsid w:val="000C6162"/>
    <w:rsid w:val="006C5313"/>
    <w:rsid w:val="007C20C1"/>
    <w:rsid w:val="00817705"/>
    <w:rsid w:val="00846584"/>
    <w:rsid w:val="009B21D2"/>
    <w:rsid w:val="00A06DCB"/>
    <w:rsid w:val="00A11DDE"/>
    <w:rsid w:val="00B022C6"/>
    <w:rsid w:val="00B518DB"/>
    <w:rsid w:val="00F05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2C3E"/>
  <w15:chartTrackingRefBased/>
  <w15:docId w15:val="{8AD33EF4-9C6F-4A79-AC6E-ED63B0EC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1D2"/>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21D2"/>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22C6"/>
    <w:pPr>
      <w:ind w:left="720"/>
      <w:contextualSpacing/>
    </w:pPr>
  </w:style>
  <w:style w:type="paragraph" w:styleId="Encabezado">
    <w:name w:val="header"/>
    <w:basedOn w:val="Normal"/>
    <w:link w:val="EncabezadoCar"/>
    <w:uiPriority w:val="99"/>
    <w:unhideWhenUsed/>
    <w:rsid w:val="007C20C1"/>
    <w:pPr>
      <w:tabs>
        <w:tab w:val="center" w:pos="4419"/>
        <w:tab w:val="right" w:pos="8838"/>
      </w:tabs>
    </w:pPr>
  </w:style>
  <w:style w:type="character" w:customStyle="1" w:styleId="EncabezadoCar">
    <w:name w:val="Encabezado Car"/>
    <w:basedOn w:val="Fuentedeprrafopredeter"/>
    <w:link w:val="Encabezado"/>
    <w:uiPriority w:val="99"/>
    <w:rsid w:val="007C20C1"/>
    <w:rPr>
      <w:rFonts w:eastAsiaTheme="minorEastAsia"/>
      <w:sz w:val="24"/>
      <w:szCs w:val="24"/>
      <w:lang w:val="es-ES_tradnl" w:eastAsia="es-ES"/>
    </w:rPr>
  </w:style>
  <w:style w:type="paragraph" w:styleId="Piedepgina">
    <w:name w:val="footer"/>
    <w:basedOn w:val="Normal"/>
    <w:link w:val="PiedepginaCar"/>
    <w:uiPriority w:val="99"/>
    <w:unhideWhenUsed/>
    <w:rsid w:val="007C20C1"/>
    <w:pPr>
      <w:tabs>
        <w:tab w:val="center" w:pos="4419"/>
        <w:tab w:val="right" w:pos="8838"/>
      </w:tabs>
    </w:pPr>
  </w:style>
  <w:style w:type="character" w:customStyle="1" w:styleId="PiedepginaCar">
    <w:name w:val="Pie de página Car"/>
    <w:basedOn w:val="Fuentedeprrafopredeter"/>
    <w:link w:val="Piedepgina"/>
    <w:uiPriority w:val="99"/>
    <w:rsid w:val="007C20C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Gerardo de la O Alvarez</dc:creator>
  <cp:keywords/>
  <dc:description/>
  <cp:lastModifiedBy>Belinda Cruz</cp:lastModifiedBy>
  <cp:revision>2</cp:revision>
  <dcterms:created xsi:type="dcterms:W3CDTF">2019-07-10T21:31:00Z</dcterms:created>
  <dcterms:modified xsi:type="dcterms:W3CDTF">2019-07-10T21:31:00Z</dcterms:modified>
</cp:coreProperties>
</file>